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385e0043905966773a32811ec054ea74ab3fa4"/>
    <w:p>
      <w:pPr>
        <w:pStyle w:val="Heading3"/>
      </w:pPr>
      <w:r>
        <w:t xml:space="preserve">План противодействия коррупции на 2018-2019 гг. распоряжение Мэра 19.04.2018</w:t>
      </w:r>
    </w:p>
    <w:p>
      <w:pPr>
        <w:pStyle w:val="FirstParagraph"/>
      </w:pPr>
      <w:r>
        <w:t xml:space="preserve">23.05.2018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План противодействия коррупции на 2018-2019 гг. распоряжение Мэра 19.04.2018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http://alekseevsky.mos.ru/anti-corruption/plans-presentations-reports-surveys-statistical-information-on-the-issues-of-countering-corruption/detail/7347374.html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lan_protivodeystviya_korruptsii_na_2018_2019_gg_rasporyazhenie_mera_19.04.2018%20(1)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anti-corruption/plans-presentations-reports-surveys-statistical-information-on-the-issues-of-countering-corruption/detail/73473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lan_protivodeystviya_korruptsii_na_2018_2019_gg_rasporyazhenie_mera_19.04.2018%20(1)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anti-corruption/plans-presentations-reports-surveys-statistical-information-on-the-issues-of-countering-corruption/detail/73473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2025-04-09T01:40:51Z</dcterms:created>
  <dcterms:modified xsi:type="dcterms:W3CDTF">2025-04-09T01:40:51Z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