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c29e5352ecbf6899037beba76df9c95e001e0"/>
    <w:p>
      <w:pPr>
        <w:pStyle w:val="Heading3"/>
      </w:pPr>
      <w:r>
        <w:t xml:space="preserve">ВНИМАНИЕ! «Протокол № 1 заседания Комиссии по соблюдению требований к служебному поведению государственных гражданских служащих и урегулированию конфликта интересов управы Алексеевского района города Москвы г. Москва от 31 октября 2022 г.»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http://alekseevsky.mos.ru/anti-corruption/the-commission-for-observance-of-requirements-for-the-official-behaviour-of-state-civil-employees-of/detail/11217873.html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11217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-corruption/the-commission-for-observance-of-requirements-for-the-official-behaviour-of-state-civil-employees-of/detail/11217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2025-04-09T01:46:49Z</dcterms:created>
  <dcterms:modified xsi:type="dcterms:W3CDTF">2025-04-09T01:46:49Z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