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7c50f5be9d7077ff5f60691919e07a872b607"/>
    <w:p>
      <w:pPr>
        <w:pStyle w:val="Heading3"/>
      </w:pPr>
      <w:r>
        <w:t xml:space="preserve">Распоряжение №170 от 05.12.2016 о внесении изменений в распоряжение №58 от 24.05.2016</w:t>
      </w:r>
    </w:p>
    <w:p>
      <w:pPr>
        <w:pStyle w:val="FirstParagraph"/>
      </w:pPr>
      <w:r>
        <w:t xml:space="preserve">19.07.2017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http://alekseevsky.mos.ru/anti-corruption/the-commission-for-observance-of-requirements-for-the-official-behaviour-of-state-civil-employees-of/detail/6500851.html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6500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6500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2025-06-12T11:03:30Z</dcterms:created>
  <dcterms:modified xsi:type="dcterms:W3CDTF">2025-06-12T11:03:30Z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