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fcb24e4bdf2d0f670f38e2d32f3207f96dc164"/>
    <w:p>
      <w:pPr>
        <w:pStyle w:val="Heading3"/>
      </w:pPr>
      <w:r>
        <w:t xml:space="preserve">Внимание! Карта рисков нарушения антимонопольного законодательства в управе Алексеевского района города Москвы</w:t>
      </w:r>
    </w:p>
    <w:p>
      <w:pPr>
        <w:pStyle w:val="FirstParagraph"/>
      </w:pPr>
      <w:r>
        <w:t xml:space="preserve">15.03.2022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/скан карта рисков 2022.pdf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http://alekseevsky.mos.ru/antitrust-compliance/detail/10680732.html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89;&#1082;&#1072;&#1085;%20&#1082;&#1072;&#1088;&#1090;&#1072;%20&#1088;&#1080;&#1089;&#1082;&#1086;&#1074;%202022.pdf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antitrust-compliance/detail/106807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89;&#1082;&#1072;&#1085;%20&#1082;&#1072;&#1088;&#1090;&#1072;%20&#1088;&#1080;&#1089;&#1082;&#1086;&#1074;%202022.pdf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antitrust-compliance/detail/106807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2025-06-07T02:00:14Z</dcterms:created>
  <dcterms:modified xsi:type="dcterms:W3CDTF">2025-06-07T02:00:14Z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