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adbc69b660f86850f4a1c9217264649ffba3d"/>
    <w:p>
      <w:pPr>
        <w:pStyle w:val="Heading3"/>
      </w:pPr>
      <w:r>
        <w:t xml:space="preserve">с 1 июля 2014 года вступает в силу запрет на организацию и проведение всероссийских негосударственных, региональных, муниципальных и стимулирующих лотерей</w:t>
      </w:r>
    </w:p>
    <w:p>
      <w:pPr>
        <w:pStyle w:val="FirstParagraph"/>
      </w:pPr>
      <w:r>
        <w:t xml:space="preserve">24.06.2014</w:t>
      </w:r>
    </w:p>
    <w:p>
      <w:pPr>
        <w:pStyle w:val="BodyText"/>
      </w:pPr>
      <w:r>
        <w:t xml:space="preserve">            В соответствии с Федеральным законом от 28.12.2013 № 416-ФЗ «О внесении изменений в Федеральный закон «О лотереях» и отдельные законодательные акты Российской Федерации» (далее – Федеральный закон)</w:t>
      </w:r>
      <w:r>
        <w:t xml:space="preserve"> </w:t>
      </w:r>
      <w:r>
        <w:rPr>
          <w:bCs/>
          <w:b/>
        </w:rPr>
        <w:t xml:space="preserve">с 1 июля 2014 года</w:t>
      </w:r>
      <w:r>
        <w:t xml:space="preserve"> </w:t>
      </w:r>
      <w:r>
        <w:t xml:space="preserve">вступает в силу запрет на организацию и проведение всероссийских негосударственных, региональных, муниципальных и стимулирующих лотерей. При этом проведение государственных и международных лотерей после 1 июля 2014 года требованиям Федерального закона не противоречит.</w:t>
      </w:r>
    </w:p>
    <w:p>
      <w:pPr>
        <w:pStyle w:val="BodyText"/>
      </w:pPr>
      <w:r>
        <w:t xml:space="preserve">Запрет на проведение любых лотерей, кроме государственных и международных, предусматривает не только завершение продаж лотерейных билетов с 1 июля 2014 года, но и прекращение выплат выигрышей по билетам, приобретенным ранее.</w:t>
      </w:r>
    </w:p>
    <w:p>
      <w:pPr>
        <w:pStyle w:val="BodyText"/>
      </w:pPr>
      <w:r>
        <w:t xml:space="preserve">В случае необходимости дополнительные разъяснения можно получить на официальном сайте Департамента региональной безопасности и противодействия коррупции города Москвы или направив в Департамент запрос в установленном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http://alekseevsky.mos.ru/presscenter/news/detail/1092276.html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092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092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2023-08-15T21:48:48Z</dcterms:created>
  <dcterms:modified xsi:type="dcterms:W3CDTF">2023-08-15T21:48:48Z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