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74cf7e7dac86b52ddec97ca5f1986a19d9326"/>
    <w:p>
      <w:pPr>
        <w:pStyle w:val="Heading3"/>
      </w:pPr>
      <w:r>
        <w:t xml:space="preserve">Мэр Москвы Сергей Собянин утвердил антикризисный план, предложенный столичным правительством</w:t>
      </w:r>
    </w:p>
    <w:p>
      <w:pPr>
        <w:pStyle w:val="FirstParagraph"/>
      </w:pPr>
      <w:r>
        <w:t xml:space="preserve">10.02.2015</w:t>
      </w:r>
    </w:p>
    <w:p>
      <w:pPr>
        <w:pStyle w:val="BodyText"/>
      </w:pPr>
      <w:r>
        <w:t xml:space="preserve">Мэр Москвы Сергей Собянин на заседании Правительства Москвы 10 февраля 2015 года утвердил антикризисный план устойчивого развития экономики и социальной стабильности города на 2015 год, предложенный столичным правительством.  Утвержденный антикризисный план развивает, конкретизирует и дополняет меры, утверждённые планом Правительства России  от 27 января 2015 года.</w:t>
      </w:r>
      <w:r>
        <w:br/>
      </w:r>
      <w:r>
        <w:t xml:space="preserve">Основной целью Антикризисного плана является устойчивое развитие экономики Москвы и стабилизация социального обеспечения жителей, в него вошли более семидесяти первочередных и системных мероприятия.</w:t>
      </w:r>
      <w:r>
        <w:br/>
      </w:r>
      <w:r>
        <w:t xml:space="preserve">«Всё последнее время мы активно проводили консультации с Правительством, с министерствами, ведомствами, активно участвовали в формировании антикризисного плана Правительства России. Параллельно проводили консультации с московским бизнес-сообществом, общественными организациями, отдельными предприятиями, руководителями крупнейших госкорпораций», — рассказал Сергей Собянин.</w:t>
      </w:r>
      <w:r>
        <w:br/>
      </w:r>
      <w:r>
        <w:t xml:space="preserve">Приоритетными задачами плана являются:</w:t>
      </w:r>
      <w:r>
        <w:br/>
      </w:r>
      <w:r>
        <w:t xml:space="preserve">- социальная поддержка граждан,</w:t>
      </w:r>
      <w:r>
        <w:br/>
      </w:r>
      <w:r>
        <w:t xml:space="preserve">- поддержка предприятий сектора и сферы услуг,</w:t>
      </w:r>
      <w:r>
        <w:br/>
      </w:r>
      <w:r>
        <w:t xml:space="preserve">- развитие замещения импорта,</w:t>
      </w:r>
      <w:r>
        <w:br/>
      </w:r>
      <w:r>
        <w:t xml:space="preserve">- обеспечение продовольственной безопасности,</w:t>
      </w:r>
      <w:r>
        <w:br/>
      </w:r>
      <w:r>
        <w:t xml:space="preserve">- поддержка транспортной отрасли,</w:t>
      </w:r>
      <w:r>
        <w:br/>
      </w:r>
      <w:r>
        <w:t xml:space="preserve">- поддержка строительного комплекса,</w:t>
      </w:r>
      <w:r>
        <w:br/>
      </w:r>
      <w:r>
        <w:t xml:space="preserve">- снижение административных барьеров для ведения бизнеса.</w:t>
      </w:r>
      <w:r>
        <w:br/>
      </w:r>
      <w:r>
        <w:t xml:space="preserve">- поддержка предпринимательства;</w:t>
      </w:r>
      <w:r>
        <w:br/>
      </w:r>
      <w:r>
        <w:t xml:space="preserve">- повышение эффективности расходования бюджетных средств.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http://alekseevsky.mos.ru/presscenter/news/detail/1572865.html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572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572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2023-08-15T21:48:38Z</dcterms:created>
  <dcterms:modified xsi:type="dcterms:W3CDTF">2023-08-15T21:48:38Z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