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b75bde7c3bbb72a399de919fa9de87bd9ce68"/>
    <w:p>
      <w:pPr>
        <w:pStyle w:val="Heading3"/>
      </w:pPr>
      <w:r>
        <w:t xml:space="preserve">Собянин уменьшил имущественный налог для владельцев зданий в четыре раза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t xml:space="preserve">Мэр Москвы Сергей Собянин, подписал закон города Москвы сокращающий в четыре раза имущественный налог для владельцев зданий, у которых офисная и торговая функция не является основным видом деятельности. Соответствующий документ размещен на официальном портале мэра и Правительства Москвы.</w:t>
      </w:r>
    </w:p>
    <w:p>
      <w:pPr>
        <w:pStyle w:val="BodyText"/>
      </w:pPr>
      <w:r>
        <w:t xml:space="preserve">Законом, подписанным Сергеем Собяниным, предусматривается уплата налога в размере 25 процентов от исчисленной суммы в отношении зданий (строений, сооружений) при условии, что для размещения офисов, торговых объектов, объектов общественного питания и (или) бытового обслуживания используется менее 20 процентов их общей площади. Таким образом, налог на имущество, взимаемый по кадастровой стоимости с владельцев зданий, для которых офисная и торговая функции не являются основными, – будет снижен в 4 раза.</w:t>
      </w:r>
    </w:p>
    <w:p>
      <w:pPr>
        <w:pStyle w:val="BodyText"/>
      </w:pPr>
      <w:r>
        <w:t xml:space="preserve">«Настоящий закон вступает в силу со дня его официального опубликования и распространяется на правоотношения, возникшие с 1 января 2015 г.», - говорится в документе.</w:t>
      </w:r>
    </w:p>
    <w:p>
      <w:pPr>
        <w:pStyle w:val="BodyText"/>
      </w:pPr>
      <w:r>
        <w:t xml:space="preserve">В рамки законопроекта подпадают:</w:t>
      </w:r>
    </w:p>
    <w:p>
      <w:pPr>
        <w:pStyle w:val="BodyText"/>
      </w:pPr>
      <w:r>
        <w:t xml:space="preserve">- складские помещения, часть площадей которых используется как торговые;</w:t>
      </w:r>
    </w:p>
    <w:p>
      <w:pPr>
        <w:pStyle w:val="BodyText"/>
      </w:pPr>
      <w:r>
        <w:t xml:space="preserve">- автосервисы, отдающие часть своих помещений под офисы;</w:t>
      </w:r>
    </w:p>
    <w:p>
      <w:pPr>
        <w:pStyle w:val="BodyText"/>
      </w:pPr>
      <w:r>
        <w:t xml:space="preserve">- производственные цеха, часть площадей которых используется под аренду кафе или ресторанов.</w:t>
      </w:r>
    </w:p>
    <w:p>
      <w:pPr>
        <w:pStyle w:val="BodyText"/>
      </w:pPr>
      <w:r>
        <w:t xml:space="preserve">Владельцы недвижимости, которые, по их мнению, могут попасть под действие закона, до 15 июня 2015 года вправе подать в Государственную инспекцию по недвижимости заявления об определении вида фактического использования площадей принадлежащих им зданий (строений, сооружений) для получения соответствующей налоговой льготы.</w:t>
      </w:r>
    </w:p>
    <w:p>
      <w:pPr>
        <w:pStyle w:val="BodyText"/>
      </w:pPr>
      <w:r>
        <w:t xml:space="preserve">Государственная инспекция по недвижимости, до конца июня текущего года, проведет проверку зданий, на которые планируется получить льготы. По итогам проверок, под льготное налогообложение может попасть около 200 объектов недвижимости.</w:t>
      </w:r>
    </w:p>
    <w:p>
      <w:pPr>
        <w:pStyle w:val="BodyText"/>
      </w:pPr>
      <w:r>
        <w:t xml:space="preserve">В соответствии с финансово-экономическим обоснованием документа, после введения льготы бюджет Москвы в 2015 году недополучит 815 млн рублей.</w:t>
      </w:r>
    </w:p>
    <w:p>
      <w:pPr>
        <w:pStyle w:val="BodyText"/>
      </w:pPr>
      <w:r>
        <w:t xml:space="preserve">Уточняется, что действие льготы продлится до 1 января 2020 г. Соответствующий закон был принят депутатами Мосгордумы на заседании 13 мая.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http://alekseevsky.mos.ru/presscenter/news/detail/1863188.html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863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863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2024-11-30T22:20:26Z</dcterms:created>
  <dcterms:modified xsi:type="dcterms:W3CDTF">2024-11-30T22:20:26Z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