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e0f4441ac58dac8a4d7fca672cf641bfbd610"/>
    <w:p>
      <w:pPr>
        <w:pStyle w:val="Heading3"/>
      </w:pPr>
      <w:r>
        <w:t xml:space="preserve">Первые открытые аукционы по продаже движимого военного имущества пройдут в подмосковной Кубинке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t xml:space="preserve">В соответствии с поручением Министра обороны Российской Федерации С.К.Шойгу на территории конгресно-выставочного центра «Патриот» (г. Кубинка, Московская обл.) организована торговая площадка для проведения торгов по реализации движимого военного имущества, не имеющего дальнейших перспектив применения в Вооруженных Силах Российской Федерации.</w:t>
      </w:r>
      <w:r>
        <w:t xml:space="preserve"> </w:t>
      </w:r>
      <w:r>
        <w:t xml:space="preserve">Первые аукционы по продаже движимого имущества пройдут на торговой площадке в рамках международного военно-технического форума «Армия-2015» в период с 16 по 19 июня 2015 года.</w:t>
      </w:r>
      <w:r>
        <w:t xml:space="preserve"> </w:t>
      </w:r>
      <w:r>
        <w:t xml:space="preserve">В дальнейшем отрытые аукционы предполагается проводить на торговой площадке ежемесячно.</w:t>
      </w:r>
      <w:r>
        <w:t xml:space="preserve"> </w:t>
      </w:r>
      <w:r>
        <w:t xml:space="preserve">Каталоги с фотографиями предлагаемого к продаже на ежемесячных аукционах движимого имущества размещены на официальном сайте Министерства обороны Российской Федерации - www.mil.ru.</w:t>
      </w:r>
      <w:r>
        <w:t xml:space="preserve"> </w:t>
      </w:r>
      <w:r>
        <w:t xml:space="preserve">Приобретение вышеуказанного военного имущества возможно всеми хозяйствующими субъектами, а также населением регионов.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http://alekseevsky.mos.ru/presscenter/news/detail/1941943.html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941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941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2023-08-15T21:48:05Z</dcterms:created>
  <dcterms:modified xsi:type="dcterms:W3CDTF">2023-08-15T21:48:05Z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