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f8d3f9a118e6ecb85c55c15e1705c34a121df"/>
    <w:p>
      <w:pPr>
        <w:pStyle w:val="Heading3"/>
      </w:pPr>
      <w:r>
        <w:t xml:space="preserve">Число предпринимателей, использующих патент на ремонт квартир, за последние два года выросло более чем в 10 раз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drawing>
          <wp:inline>
            <wp:extent cx="5334000" cy="26617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5ad/stroitelstvo-zhiloy-dom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 Москве с 2014 года более чем в 6 раз выросло число предпринимателей на патенте, которые заняты в сфере ремонта, дизайна и обустройства квартир, сообщает Департамент экономической политики и развития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Наибольший прирост патентов за два года произошел в секторе ремонта жилья – количество приобретенных патентов увеличилось более чем в 10 раз. В 5 раз активнее стали приобретать патенты дизайнеры интерьера, в 7 раз – специалисты по остеклению балконов.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рынок ремонтных и дизайнерских услуг постепенно трансформируется, превращается из стихийного в цивилизованный. В результате выигрывают прежде всего потребители, поскольку официальное оформление договорных отношений позволяет контролировать качество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http://alekseevsky.mos.ru/presscenter/news/detail/3629611.html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3629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3629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2025-08-05T14:35:36Z</dcterms:created>
  <dcterms:modified xsi:type="dcterms:W3CDTF">2025-08-05T14:35:36Z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