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257bed11db5dffb1138680722c16620548c00"/>
    <w:p>
      <w:pPr>
        <w:pStyle w:val="Heading3"/>
      </w:pPr>
      <w:r>
        <w:t xml:space="preserve">Информируем о вступлении в законную силу Приказа МВД России от 31.03.2021 г. № 186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Информируем о вступлении в законную силу Приказа МВД России от 31.03.2021 г. № 186 «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Федерации».</w:t>
      </w:r>
    </w:p>
    <w:p>
      <w:pPr>
        <w:pStyle w:val="BodyText"/>
      </w:pPr>
      <w:r>
        <w:t xml:space="preserve">Дополнительно сообщаем о действии Распоряжения Правительства РФ</w:t>
      </w:r>
      <w:r>
        <w:br/>
      </w:r>
      <w:r>
        <w:t xml:space="preserve">от 16.03.2020 № 635-Р «О временном ограничении въезда в Российскую Федерацию иностранных граждан и лиц без гражданства и временном приостановлении оформления и выдачи виз и приглашений».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http://alekseevsky.mos.ru/the-department-for-migration-omvd-russia-alexeyevsky-district-moscow/detail/10033772.html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033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033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2025-04-10T21:10:21Z</dcterms:created>
  <dcterms:modified xsi:type="dcterms:W3CDTF">2025-04-10T21:10:21Z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