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76dab0e166884982a936e910695a30234fac2"/>
    <w:p>
      <w:pPr>
        <w:pStyle w:val="Heading3"/>
      </w:pPr>
      <w:r>
        <w:t xml:space="preserve">ВНИМАНИЕ! Отдел по вопросам миграции Отдела МВД России по Алексеевскому району г. Москвы разъясняет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Отдел по вопросам миграции Отдела МВД России по Алексеевскому району г. Москвы разъясняет: согласно Постановления Правительства РФ от 08.07.1997 № 828 (ред. От 15.07.2021) «Об утверждении Положения о паспорте гражданина Российской Федерации, образца бланка и описания паспорта гражданина Российской Федерации» паспорт гражданина Российской Федерации выдается гражданину по достижении им 14 -летнего возраста.</w:t>
      </w:r>
    </w:p>
    <w:p>
      <w:pPr>
        <w:pStyle w:val="BodyText"/>
      </w:pPr>
      <w:r>
        <w:t xml:space="preserve">Срок действия паспорта гражданина Российской Федерации:</w:t>
      </w:r>
    </w:p>
    <w:p>
      <w:pPr>
        <w:pStyle w:val="BodyText"/>
      </w:pPr>
      <w:r>
        <w:t xml:space="preserve">- от 14 лет до достижения 20- летнего возраста;</w:t>
      </w:r>
    </w:p>
    <w:p>
      <w:pPr>
        <w:pStyle w:val="BodyText"/>
      </w:pPr>
      <w:r>
        <w:t xml:space="preserve">- от 20 лет до достижения 45 – летнего возраста;</w:t>
      </w:r>
    </w:p>
    <w:p>
      <w:pPr>
        <w:pStyle w:val="BodyText"/>
      </w:pPr>
      <w:r>
        <w:t xml:space="preserve">- от 45 лет – бессрочно.</w:t>
      </w:r>
    </w:p>
    <w:p>
      <w:pPr>
        <w:pStyle w:val="BodyText"/>
      </w:pPr>
      <w:r>
        <w:t xml:space="preserve">В случае нарушения срока замены паспорта гражданина Российской Федерации в связи с достижением установленного законом возраста, в нарушение п. п. 7, 15 «Положения о паспорте гражданина Российской Федерации», утвержденного Постановлением Правительства Российской Федерации от 8 июля 1997 года № 828 и проживания гражданина по недействительному документу, удостоверяющему личность гражданина (паспорту), влечет за собой совершение административного правонарушения, ответственность за которое предусмотрена ч.2 ст.19.15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http://alekseevsky.mos.ru/the-department-for-migration-omvd-russia-alexeyevsky-district-moscow/detail/11560992.html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560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560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2025-06-16T04:21:26Z</dcterms:created>
  <dcterms:modified xsi:type="dcterms:W3CDTF">2025-06-16T04:21:26Z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